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A0" w:rsidRDefault="00002FF8">
      <w:pPr>
        <w:pStyle w:val="Subtitle"/>
        <w:rPr>
          <w:sz w:val="28"/>
          <w:szCs w:val="28"/>
        </w:rPr>
      </w:pPr>
      <w:r>
        <w:rPr>
          <w:sz w:val="28"/>
          <w:szCs w:val="28"/>
        </w:rPr>
        <w:t>CITY OF BRADFORD METROPOLITAN DISTRICT COUNCIL</w:t>
      </w:r>
    </w:p>
    <w:p w:rsidR="006B46A0" w:rsidRDefault="00002FF8">
      <w:pPr>
        <w:pStyle w:val="Subtitle"/>
      </w:pPr>
      <w:r>
        <w:rPr>
          <w:sz w:val="28"/>
          <w:szCs w:val="28"/>
        </w:rPr>
        <w:t xml:space="preserve">JOB PROFILE </w:t>
      </w:r>
    </w:p>
    <w:p w:rsidR="006B46A0" w:rsidRDefault="006B46A0">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DEPARTMENT: Adult and Community Services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SERVICE GROUP: Mental Capacity Act (MCA) Service</w:t>
            </w:r>
          </w:p>
        </w:tc>
      </w:tr>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POST TITLE: Advanced Practitioner – Mental Capacity</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rPr>
              <w:t>REPORTS TO: Team Manager Mental Capacity Lead</w:t>
            </w:r>
          </w:p>
        </w:tc>
      </w:tr>
      <w:tr w:rsidR="006B46A0">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GRADE: PO3 SCP </w:t>
            </w:r>
            <w:r>
              <w:rPr>
                <w:rStyle w:val="Strong"/>
              </w:rPr>
              <w:t>39-40 (plus up to 2 increments subject to BIA and AMHP status)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SAP POSITION NUMBER : </w:t>
            </w:r>
          </w:p>
        </w:tc>
      </w:tr>
    </w:tbl>
    <w:p w:rsidR="006B46A0" w:rsidRDefault="006B46A0">
      <w:pPr>
        <w:tabs>
          <w:tab w:val="left" w:pos="-720"/>
        </w:tabs>
        <w:rPr>
          <w:sz w:val="16"/>
        </w:rPr>
      </w:pPr>
    </w:p>
    <w:p w:rsidR="006B46A0" w:rsidRDefault="006B46A0">
      <w:pPr>
        <w:tabs>
          <w:tab w:val="left" w:pos="-720"/>
        </w:tabs>
        <w:rPr>
          <w:sz w:val="16"/>
        </w:rPr>
      </w:pPr>
    </w:p>
    <w:p w:rsidR="006B46A0" w:rsidRDefault="00002FF8">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6B46A0" w:rsidRDefault="006B46A0">
      <w:pPr>
        <w:tabs>
          <w:tab w:val="left" w:pos="-720"/>
        </w:tabs>
        <w:jc w:val="both"/>
        <w:rPr>
          <w:rFonts w:ascii="Arial" w:hAnsi="Arial" w:cs="Arial"/>
        </w:rPr>
      </w:pPr>
    </w:p>
    <w:p w:rsidR="006B46A0" w:rsidRDefault="00002FF8">
      <w:pPr>
        <w:tabs>
          <w:tab w:val="left" w:pos="-720"/>
        </w:tabs>
        <w:jc w:val="both"/>
      </w:pPr>
      <w:r>
        <w:rPr>
          <w:rFonts w:ascii="Arial" w:hAnsi="Arial" w:cs="Arial"/>
        </w:rPr>
        <w:t xml:space="preserve">Both sets of competencies will be used at interview stage and will not be used for short listing purposes.  </w:t>
      </w:r>
    </w:p>
    <w:p w:rsidR="006B46A0" w:rsidRDefault="006B46A0">
      <w:pPr>
        <w:tabs>
          <w:tab w:val="left" w:pos="-720"/>
        </w:tabs>
        <w:rPr>
          <w:sz w:val="16"/>
        </w:rPr>
      </w:pPr>
    </w:p>
    <w:p w:rsidR="006B46A0" w:rsidRDefault="006B46A0">
      <w:pPr>
        <w:tabs>
          <w:tab w:val="left" w:pos="-720"/>
        </w:tabs>
        <w:rPr>
          <w:sz w:val="16"/>
        </w:rPr>
      </w:pPr>
    </w:p>
    <w:tbl>
      <w:tblPr>
        <w:tblW w:w="9708" w:type="dxa"/>
        <w:tblLayout w:type="fixed"/>
        <w:tblCellMar>
          <w:left w:w="10" w:type="dxa"/>
          <w:right w:w="10" w:type="dxa"/>
        </w:tblCellMar>
        <w:tblLook w:val="0000" w:firstRow="0" w:lastRow="0" w:firstColumn="0" w:lastColumn="0" w:noHBand="0" w:noVBand="0"/>
      </w:tblPr>
      <w:tblGrid>
        <w:gridCol w:w="8028"/>
        <w:gridCol w:w="1680"/>
      </w:tblGrid>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E6F2B">
            <w:pPr>
              <w:ind w:right="-874"/>
            </w:pPr>
            <w:r>
              <w:rPr>
                <w:rFonts w:ascii="Arial" w:hAnsi="Arial" w:cs="Arial"/>
                <w:b/>
              </w:rPr>
              <w:t xml:space="preserve">Key Purpose of Post: </w:t>
            </w:r>
          </w:p>
        </w:tc>
      </w:tr>
      <w:tr w:rsidR="006B46A0">
        <w:trPr>
          <w:trHeight w:val="86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 xml:space="preserve">Contribute to the provision of Social Care Services in the Community and other settings. </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Provide an effective social work service including assessment, case planning and reviews, that uphold human rights with the Mental Capacity Act 2005 at the heart of Policy, practice and procedures.</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To further strengthen our social work practice by leading on our work in upholding the rights of people who living in the community and are at risk of a deprivation of liberty.</w:t>
            </w:r>
          </w:p>
          <w:p w:rsidR="006B46A0" w:rsidRDefault="006B46A0">
            <w:pPr>
              <w:ind w:right="-6"/>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E6F2B">
            <w:pPr>
              <w:ind w:right="-874"/>
            </w:pPr>
            <w:r>
              <w:rPr>
                <w:rFonts w:ascii="Arial" w:hAnsi="Arial" w:cs="Arial"/>
                <w:b/>
              </w:rPr>
              <w:t xml:space="preserve">Main Responsibilities of Post: </w:t>
            </w:r>
          </w:p>
        </w:tc>
      </w:tr>
      <w:tr w:rsidR="006B46A0">
        <w:trPr>
          <w:trHeight w:val="70"/>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left="60" w:right="-874"/>
              <w:rPr>
                <w:rFonts w:ascii="Arial" w:hAnsi="Arial" w:cs="Arial"/>
              </w:rPr>
            </w:pPr>
          </w:p>
          <w:p w:rsidR="006B46A0" w:rsidRDefault="00002FF8">
            <w:pPr>
              <w:ind w:right="-6"/>
            </w:pPr>
            <w:r>
              <w:rPr>
                <w:rFonts w:ascii="Arial" w:hAnsi="Arial" w:cs="Arial"/>
              </w:rPr>
              <w:t xml:space="preserve">1. </w:t>
            </w:r>
            <w:r>
              <w:rPr>
                <w:rFonts w:ascii="Arial" w:hAnsi="Arial" w:cs="Arial"/>
                <w:color w:val="000000"/>
              </w:rPr>
              <w:t xml:space="preserve">Have their practice recognised as exemplary, and provide leadership and professional wisdom to their colleagues and other professionals for work in situations of high </w:t>
            </w:r>
            <w:r>
              <w:rPr>
                <w:rFonts w:ascii="Arial" w:hAnsi="Arial" w:cs="Arial"/>
                <w:color w:val="000000"/>
              </w:rPr>
              <w:lastRenderedPageBreak/>
              <w:t>complexity. To work directly with people who use services, and those who care for them, as well as families and communities. To provide constructive challenge to enhance practice, procedures and policies, promote innovation, and introduce new ways of working from recognised sites of excellence. Will contribute to the development of knowledge and promotion of excellence in their field using evidence-informed practice. Will make use of sophisticated, critical reasoning and both model and facilitate reflective and evidence-informed practice.</w:t>
            </w:r>
          </w:p>
          <w:p w:rsidR="006B46A0" w:rsidRDefault="006B46A0">
            <w:pPr>
              <w:ind w:right="-6"/>
              <w:rPr>
                <w:rFonts w:ascii="Arial" w:hAnsi="Arial" w:cs="Arial"/>
                <w:color w:val="000000"/>
              </w:rPr>
            </w:pPr>
          </w:p>
          <w:p w:rsidR="006B46A0" w:rsidRDefault="00002FF8">
            <w:pPr>
              <w:ind w:right="-6"/>
              <w:rPr>
                <w:rFonts w:ascii="Arial" w:hAnsi="Arial" w:cs="Arial"/>
              </w:rPr>
            </w:pPr>
            <w:r>
              <w:rPr>
                <w:rFonts w:ascii="Arial" w:hAnsi="Arial" w:cs="Arial"/>
              </w:rPr>
              <w:t xml:space="preserve">2. Undertake complex assessments where the degree of risk to the person’s human rights, specifically under ECHR Article 5 and Article 8, requires greater volumes of experience and expertise.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3.Engage effectively with situations requiring the most complex and challenging multi agency input, complex family organisational dynamics, multiple problems/disadvantages, multiple significant risk factors, the need to take into account the Public Interest.</w:t>
            </w:r>
          </w:p>
          <w:p w:rsidR="006B46A0" w:rsidRDefault="006B46A0">
            <w:pPr>
              <w:ind w:right="-6"/>
              <w:rPr>
                <w:rFonts w:ascii="Arial" w:hAnsi="Arial" w:cs="Arial"/>
              </w:rPr>
            </w:pPr>
          </w:p>
          <w:p w:rsidR="006B46A0" w:rsidRDefault="00002FF8">
            <w:pPr>
              <w:ind w:right="-6"/>
            </w:pPr>
            <w:r>
              <w:rPr>
                <w:rFonts w:ascii="Arial" w:hAnsi="Arial" w:cs="Arial"/>
              </w:rPr>
              <w:t>4. Investigate complex abuse allegations, within West Yorkshire Safeguarding procedures.</w:t>
            </w:r>
          </w:p>
          <w:p w:rsidR="006B46A0" w:rsidRDefault="006B46A0">
            <w:pPr>
              <w:ind w:right="-6"/>
              <w:rPr>
                <w:rFonts w:ascii="Arial" w:hAnsi="Arial" w:cs="Arial"/>
                <w:i/>
              </w:rPr>
            </w:pPr>
          </w:p>
          <w:p w:rsidR="006B46A0" w:rsidRDefault="00002FF8">
            <w:pPr>
              <w:ind w:right="-6"/>
              <w:rPr>
                <w:rFonts w:ascii="Arial" w:hAnsi="Arial" w:cs="Arial"/>
                <w:color w:val="000000"/>
              </w:rPr>
            </w:pPr>
            <w:r>
              <w:rPr>
                <w:rFonts w:ascii="Arial" w:hAnsi="Arial" w:cs="Arial"/>
                <w:color w:val="000000"/>
              </w:rPr>
              <w:t>5. Prepare and present cases to the Court of Protection under the Re X procedures or to a full hearing in consultation with the Councils Legal Services where a person is at risk of being deprived of their liberty whilst living in the community in Supported Living, Shared Lives or their own homes.</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6. Make recommendations in respect of and use appropriate legal options and provide advice and direction to colleagues.  </w:t>
            </w:r>
          </w:p>
          <w:p w:rsidR="006B46A0" w:rsidRDefault="006B46A0">
            <w:pPr>
              <w:ind w:right="-6"/>
              <w:rPr>
                <w:rFonts w:ascii="Arial" w:hAnsi="Arial" w:cs="Arial"/>
                <w:i/>
              </w:rPr>
            </w:pPr>
          </w:p>
          <w:p w:rsidR="006B46A0" w:rsidRDefault="00002FF8">
            <w:pPr>
              <w:ind w:right="-6"/>
              <w:rPr>
                <w:rFonts w:ascii="Arial" w:hAnsi="Arial" w:cs="Arial"/>
              </w:rPr>
            </w:pPr>
            <w:r>
              <w:rPr>
                <w:rFonts w:ascii="Arial" w:hAnsi="Arial" w:cs="Arial"/>
              </w:rPr>
              <w:t>7. Accept responsibility for service users and ensure assessments, planning and reviews of such cases are delivered to the desired standard and at defined intervals.</w:t>
            </w:r>
          </w:p>
          <w:p w:rsidR="006B46A0" w:rsidRDefault="006B46A0">
            <w:pPr>
              <w:ind w:right="-6"/>
              <w:rPr>
                <w:rFonts w:ascii="Arial" w:hAnsi="Arial" w:cs="Arial"/>
              </w:rPr>
            </w:pPr>
          </w:p>
          <w:p w:rsidR="006B46A0" w:rsidRDefault="006B46A0">
            <w:pPr>
              <w:ind w:right="-6"/>
              <w:rPr>
                <w:rFonts w:ascii="Arial" w:hAnsi="Arial" w:cs="Arial"/>
              </w:rPr>
            </w:pPr>
          </w:p>
          <w:p w:rsidR="006B46A0" w:rsidRDefault="00002FF8">
            <w:pPr>
              <w:ind w:right="-6"/>
              <w:rPr>
                <w:rFonts w:ascii="Arial" w:hAnsi="Arial" w:cs="Arial"/>
                <w:color w:val="000000"/>
              </w:rPr>
            </w:pPr>
            <w:r>
              <w:rPr>
                <w:rFonts w:ascii="Arial" w:hAnsi="Arial" w:cs="Arial"/>
                <w:color w:val="000000"/>
              </w:rPr>
              <w:t xml:space="preserve">8. To facilitate training, professional development and other learning opportunities for less experienced Social Work staff, on the basis of own expertise, promoting best practice and improved outcomes for clients. </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9. To act in accordance with the priorities and policies of the Department and provide support to Team Managers to ensure these are met. Day to day professional support, direction and advice to colleagues and formal clinical supervision of selected staff, for example the co-working of cases, chairing of case planning meetings, consultation, coaching and mentoring. </w:t>
            </w:r>
          </w:p>
          <w:p w:rsidR="006B46A0" w:rsidRDefault="006B46A0">
            <w:pPr>
              <w:ind w:right="-6"/>
              <w:rPr>
                <w:rFonts w:ascii="Arial" w:hAnsi="Arial" w:cs="Arial"/>
                <w:color w:val="000000"/>
              </w:rPr>
            </w:pPr>
          </w:p>
          <w:p w:rsidR="006B46A0" w:rsidRDefault="00002FF8">
            <w:pPr>
              <w:ind w:right="-6"/>
            </w:pPr>
            <w:r>
              <w:rPr>
                <w:rFonts w:ascii="Arial" w:hAnsi="Arial" w:cs="Arial"/>
                <w:color w:val="000000"/>
              </w:rPr>
              <w:t>10. Work</w:t>
            </w:r>
            <w:r>
              <w:rPr>
                <w:rFonts w:ascii="Arial" w:hAnsi="Arial" w:cs="Arial"/>
              </w:rPr>
              <w:t xml:space="preserve"> in partnership with other agencies and organisations in line with the responsibility outlined above in order to fulfil the provisions of a Social Work Service. Chair and lead a range of meetings at an appropriate level. </w:t>
            </w:r>
          </w:p>
          <w:p w:rsidR="006B46A0" w:rsidRDefault="006B46A0">
            <w:pPr>
              <w:ind w:right="-6"/>
              <w:rPr>
                <w:rFonts w:ascii="Arial" w:hAnsi="Arial" w:cs="Arial"/>
              </w:rPr>
            </w:pPr>
          </w:p>
          <w:p w:rsidR="006B46A0" w:rsidRDefault="00002FF8">
            <w:pPr>
              <w:ind w:right="-6"/>
            </w:pPr>
            <w:r>
              <w:rPr>
                <w:rFonts w:ascii="Arial" w:hAnsi="Arial" w:cs="Arial"/>
                <w:color w:val="000000"/>
              </w:rPr>
              <w:t>11. To assist colleagues in promoting, developing and maintaining practice to the highest standard. To support and undertake dis</w:t>
            </w:r>
            <w:r>
              <w:rPr>
                <w:rFonts w:ascii="Arial" w:hAnsi="Arial" w:cs="Arial"/>
              </w:rPr>
              <w:t xml:space="preserve">crete assessments or other tasks in respect of cases held by other staff as appropriate.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 xml:space="preserve">12. Facilitates maximum consultation with and participation of service users.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 xml:space="preserve">13. Act as  a member of a professional or Service Planning Group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14. Take part in continuous professional development opportunities including regular supervision and appraisal in line with registration and HCPC standards; and undertake advanced learning throughout the Department.</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15. Provide/offer expert opinion within the organisation and others as a result of developing expertise in one or more areas of practice. Produce high quality assessments, accurately assessing and managing the highest level of risk and complexity.</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16. Provide support across the workforce on Mental Capacity Act.</w:t>
            </w:r>
          </w:p>
          <w:p w:rsidR="006B46A0" w:rsidRDefault="006B46A0">
            <w:pPr>
              <w:ind w:right="-6"/>
              <w:rPr>
                <w:rFonts w:ascii="Arial" w:hAnsi="Arial" w:cs="Arial"/>
                <w:color w:val="000000"/>
              </w:rPr>
            </w:pPr>
          </w:p>
          <w:p w:rsidR="006B46A0" w:rsidRDefault="006B46A0">
            <w:pPr>
              <w:ind w:left="60" w:right="-874"/>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lastRenderedPageBreak/>
              <w:t>Structure:</w:t>
            </w:r>
          </w:p>
          <w:p w:rsidR="006B46A0" w:rsidRDefault="00002FF8">
            <w:pPr>
              <w:ind w:right="-108"/>
              <w:jc w:val="center"/>
            </w:pPr>
            <w:r>
              <w:rPr>
                <w:b/>
                <w:noProof/>
              </w:rPr>
              <mc:AlternateContent>
                <mc:Choice Requires="wpg">
                  <w:drawing>
                    <wp:anchor distT="0" distB="0" distL="114300" distR="114300" simplePos="0" relativeHeight="251657728" behindDoc="0" locked="0" layoutInCell="1" allowOverlap="1">
                      <wp:simplePos x="0" y="0"/>
                      <wp:positionH relativeFrom="character">
                        <wp:posOffset>-120015</wp:posOffset>
                      </wp:positionH>
                      <wp:positionV relativeFrom="line">
                        <wp:posOffset>219071</wp:posOffset>
                      </wp:positionV>
                      <wp:extent cx="5307332" cy="2590807"/>
                      <wp:effectExtent l="0" t="0" r="26668" b="19043"/>
                      <wp:wrapNone/>
                      <wp:docPr id="1" name="Organization Chart 2"/>
                      <wp:cNvGraphicFramePr/>
                      <a:graphic xmlns:a="http://schemas.openxmlformats.org/drawingml/2006/main">
                        <a:graphicData uri="http://schemas.microsoft.com/office/word/2010/wordprocessingGroup">
                          <wpg:wgp>
                            <wpg:cNvGrpSpPr/>
                            <wpg:grpSpPr>
                              <a:xfrm>
                                <a:off x="0" y="0"/>
                                <a:ext cx="5307332" cy="2590807"/>
                                <a:chOff x="0" y="0"/>
                                <a:chExt cx="5307332" cy="2590807"/>
                              </a:xfrm>
                            </wpg:grpSpPr>
                            <wps:wsp>
                              <wps:cNvPr id="2" name="Freeform 2"/>
                              <wps:cNvSpPr/>
                              <wps:spPr>
                                <a:xfrm>
                                  <a:off x="2653661" y="1632744"/>
                                  <a:ext cx="2080525" cy="283363"/>
                                </a:xfrm>
                                <a:custGeom>
                                  <a:avLst/>
                                  <a:gdLst>
                                    <a:gd name="f0" fmla="val w"/>
                                    <a:gd name="f1" fmla="val h"/>
                                    <a:gd name="f2" fmla="val 0"/>
                                    <a:gd name="f3" fmla="val 2032114"/>
                                    <a:gd name="f4" fmla="val 235120"/>
                                    <a:gd name="f5" fmla="val 117560"/>
                                    <a:gd name="f6" fmla="*/ f0 1 2032114"/>
                                    <a:gd name="f7" fmla="*/ f1 1 235120"/>
                                    <a:gd name="f8" fmla="+- f4 0 f2"/>
                                    <a:gd name="f9" fmla="+- f3 0 f2"/>
                                    <a:gd name="f10" fmla="*/ f9 1 2032114"/>
                                    <a:gd name="f11" fmla="*/ f8 1 235120"/>
                                    <a:gd name="f12" fmla="*/ 0 1 f10"/>
                                    <a:gd name="f13" fmla="*/ 2032114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32114" h="235120">
                                      <a:moveTo>
                                        <a:pt x="f2" y="f2"/>
                                      </a:moveTo>
                                      <a:lnTo>
                                        <a:pt x="f2" y="f5"/>
                                      </a:lnTo>
                                      <a:lnTo>
                                        <a:pt x="f3" y="f5"/>
                                      </a:lnTo>
                                      <a:lnTo>
                                        <a:pt x="f3" y="f4"/>
                                      </a:lnTo>
                                    </a:path>
                                  </a:pathLst>
                                </a:custGeom>
                                <a:noFill/>
                                <a:ln w="12701">
                                  <a:solidFill>
                                    <a:srgbClr val="3D67B1"/>
                                  </a:solidFill>
                                  <a:prstDash val="solid"/>
                                  <a:miter/>
                                </a:ln>
                              </wps:spPr>
                              <wps:bodyPr lIns="0" tIns="0" rIns="0" bIns="0"/>
                            </wps:wsp>
                            <wps:wsp>
                              <wps:cNvPr id="3" name="Freeform 3"/>
                              <wps:cNvSpPr/>
                              <wps:spPr>
                                <a:xfrm>
                                  <a:off x="2653661" y="1632744"/>
                                  <a:ext cx="693508" cy="283363"/>
                                </a:xfrm>
                                <a:custGeom>
                                  <a:avLst/>
                                  <a:gdLst>
                                    <a:gd name="f0" fmla="val w"/>
                                    <a:gd name="f1" fmla="val h"/>
                                    <a:gd name="f2" fmla="val 0"/>
                                    <a:gd name="f3" fmla="val 677371"/>
                                    <a:gd name="f4" fmla="val 235120"/>
                                    <a:gd name="f5" fmla="val 117560"/>
                                    <a:gd name="f6" fmla="*/ f0 1 677371"/>
                                    <a:gd name="f7" fmla="*/ f1 1 235120"/>
                                    <a:gd name="f8" fmla="+- f4 0 f2"/>
                                    <a:gd name="f9" fmla="+- f3 0 f2"/>
                                    <a:gd name="f10" fmla="*/ f9 1 677371"/>
                                    <a:gd name="f11" fmla="*/ f8 1 235120"/>
                                    <a:gd name="f12" fmla="*/ 0 1 f10"/>
                                    <a:gd name="f13" fmla="*/ 677371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7371" h="235120">
                                      <a:moveTo>
                                        <a:pt x="f2" y="f2"/>
                                      </a:moveTo>
                                      <a:lnTo>
                                        <a:pt x="f2" y="f5"/>
                                      </a:lnTo>
                                      <a:lnTo>
                                        <a:pt x="f3" y="f5"/>
                                      </a:lnTo>
                                      <a:lnTo>
                                        <a:pt x="f3" y="f4"/>
                                      </a:lnTo>
                                    </a:path>
                                  </a:pathLst>
                                </a:custGeom>
                                <a:noFill/>
                                <a:ln w="12701">
                                  <a:solidFill>
                                    <a:srgbClr val="3D67B1"/>
                                  </a:solidFill>
                                  <a:prstDash val="solid"/>
                                  <a:miter/>
                                </a:ln>
                              </wps:spPr>
                              <wps:bodyPr lIns="0" tIns="0" rIns="0" bIns="0"/>
                            </wps:wsp>
                            <wps:wsp>
                              <wps:cNvPr id="4" name="Freeform 4"/>
                              <wps:cNvSpPr/>
                              <wps:spPr>
                                <a:xfrm>
                                  <a:off x="1960162" y="1632744"/>
                                  <a:ext cx="693508" cy="283363"/>
                                </a:xfrm>
                                <a:custGeom>
                                  <a:avLst/>
                                  <a:gdLst>
                                    <a:gd name="f0" fmla="val w"/>
                                    <a:gd name="f1" fmla="val h"/>
                                    <a:gd name="f2" fmla="val 0"/>
                                    <a:gd name="f3" fmla="val 677371"/>
                                    <a:gd name="f4" fmla="val 235120"/>
                                    <a:gd name="f5" fmla="val 117560"/>
                                    <a:gd name="f6" fmla="*/ f0 1 677371"/>
                                    <a:gd name="f7" fmla="*/ f1 1 235120"/>
                                    <a:gd name="f8" fmla="+- f4 0 f2"/>
                                    <a:gd name="f9" fmla="+- f3 0 f2"/>
                                    <a:gd name="f10" fmla="*/ f9 1 677371"/>
                                    <a:gd name="f11" fmla="*/ f8 1 235120"/>
                                    <a:gd name="f12" fmla="*/ 0 1 f10"/>
                                    <a:gd name="f13" fmla="*/ 677371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7371" h="235120">
                                      <a:moveTo>
                                        <a:pt x="f3" y="f2"/>
                                      </a:moveTo>
                                      <a:lnTo>
                                        <a:pt x="f3" y="f5"/>
                                      </a:lnTo>
                                      <a:lnTo>
                                        <a:pt x="f2" y="f5"/>
                                      </a:lnTo>
                                      <a:lnTo>
                                        <a:pt x="f2" y="f4"/>
                                      </a:lnTo>
                                    </a:path>
                                  </a:pathLst>
                                </a:custGeom>
                                <a:noFill/>
                                <a:ln w="12701">
                                  <a:solidFill>
                                    <a:srgbClr val="3D67B1"/>
                                  </a:solidFill>
                                  <a:prstDash val="solid"/>
                                  <a:miter/>
                                </a:ln>
                              </wps:spPr>
                              <wps:bodyPr lIns="0" tIns="0" rIns="0" bIns="0"/>
                            </wps:wsp>
                            <wps:wsp>
                              <wps:cNvPr id="5" name="Freeform 5"/>
                              <wps:cNvSpPr/>
                              <wps:spPr>
                                <a:xfrm>
                                  <a:off x="573136" y="1632744"/>
                                  <a:ext cx="2080525" cy="283363"/>
                                </a:xfrm>
                                <a:custGeom>
                                  <a:avLst/>
                                  <a:gdLst>
                                    <a:gd name="f0" fmla="val w"/>
                                    <a:gd name="f1" fmla="val h"/>
                                    <a:gd name="f2" fmla="val 0"/>
                                    <a:gd name="f3" fmla="val 2032114"/>
                                    <a:gd name="f4" fmla="val 235120"/>
                                    <a:gd name="f5" fmla="val 117560"/>
                                    <a:gd name="f6" fmla="*/ f0 1 2032114"/>
                                    <a:gd name="f7" fmla="*/ f1 1 235120"/>
                                    <a:gd name="f8" fmla="+- f4 0 f2"/>
                                    <a:gd name="f9" fmla="+- f3 0 f2"/>
                                    <a:gd name="f10" fmla="*/ f9 1 2032114"/>
                                    <a:gd name="f11" fmla="*/ f8 1 235120"/>
                                    <a:gd name="f12" fmla="*/ 0 1 f10"/>
                                    <a:gd name="f13" fmla="*/ 2032114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32114" h="235120">
                                      <a:moveTo>
                                        <a:pt x="f3" y="f2"/>
                                      </a:moveTo>
                                      <a:lnTo>
                                        <a:pt x="f3" y="f5"/>
                                      </a:lnTo>
                                      <a:lnTo>
                                        <a:pt x="f2" y="f5"/>
                                      </a:lnTo>
                                      <a:lnTo>
                                        <a:pt x="f2" y="f4"/>
                                      </a:lnTo>
                                    </a:path>
                                  </a:pathLst>
                                </a:custGeom>
                                <a:noFill/>
                                <a:ln w="12701">
                                  <a:solidFill>
                                    <a:srgbClr val="3D67B1"/>
                                  </a:solidFill>
                                  <a:prstDash val="solid"/>
                                  <a:miter/>
                                </a:ln>
                              </wps:spPr>
                              <wps:bodyPr lIns="0" tIns="0" rIns="0" bIns="0"/>
                            </wps:wsp>
                            <wps:wsp>
                              <wps:cNvPr id="6" name="Freeform 6"/>
                              <wps:cNvSpPr/>
                              <wps:spPr>
                                <a:xfrm>
                                  <a:off x="2606853" y="674690"/>
                                  <a:ext cx="93616" cy="283363"/>
                                </a:xfrm>
                                <a:custGeom>
                                  <a:avLst/>
                                  <a:gdLst>
                                    <a:gd name="f0" fmla="val w"/>
                                    <a:gd name="f1" fmla="val h"/>
                                    <a:gd name="f2" fmla="val 0"/>
                                    <a:gd name="f3" fmla="val 91440"/>
                                    <a:gd name="f4" fmla="val 235120"/>
                                    <a:gd name="f5" fmla="val 45720"/>
                                    <a:gd name="f6" fmla="*/ f0 1 91440"/>
                                    <a:gd name="f7" fmla="*/ f1 1 235120"/>
                                    <a:gd name="f8" fmla="+- f4 0 f2"/>
                                    <a:gd name="f9" fmla="+- f3 0 f2"/>
                                    <a:gd name="f10" fmla="*/ f9 1 91440"/>
                                    <a:gd name="f11" fmla="*/ f8 1 235120"/>
                                    <a:gd name="f12" fmla="*/ 0 1 f10"/>
                                    <a:gd name="f13" fmla="*/ 91440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235120">
                                      <a:moveTo>
                                        <a:pt x="f5" y="f2"/>
                                      </a:moveTo>
                                      <a:lnTo>
                                        <a:pt x="f5" y="f4"/>
                                      </a:lnTo>
                                    </a:path>
                                  </a:pathLst>
                                </a:custGeom>
                                <a:noFill/>
                                <a:ln w="12701">
                                  <a:solidFill>
                                    <a:srgbClr val="34599C"/>
                                  </a:solidFill>
                                  <a:prstDash val="solid"/>
                                  <a:miter/>
                                </a:ln>
                              </wps:spPr>
                              <wps:bodyPr lIns="0" tIns="0" rIns="0" bIns="0"/>
                            </wps:wsp>
                            <wps:wsp>
                              <wps:cNvPr id="7" name="Freeform 7"/>
                              <wps:cNvSpPr/>
                              <wps:spPr>
                                <a:xfrm>
                                  <a:off x="2080516" y="0"/>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wps:txbx>
                              <wps:bodyPr vert="horz" wrap="square" lIns="6345" tIns="6345" rIns="6345" bIns="6345" anchor="ctr" anchorCtr="1" compatLnSpc="0"/>
                            </wps:wsp>
                            <wps:wsp>
                              <wps:cNvPr id="8" name="Freeform 8"/>
                              <wps:cNvSpPr/>
                              <wps:spPr>
                                <a:xfrm>
                                  <a:off x="1857375" y="958063"/>
                                  <a:ext cx="1609728"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Mental Capacity Lead (Community)</w:t>
                                    </w:r>
                                  </w:p>
                                </w:txbxContent>
                              </wps:txbx>
                              <wps:bodyPr vert="horz" wrap="square" lIns="6345" tIns="6345" rIns="6345" bIns="6345" anchor="ctr" anchorCtr="1" compatLnSpc="0"/>
                            </wps:wsp>
                            <wps:wsp>
                              <wps:cNvPr id="9" name="Freeform 9"/>
                              <wps:cNvSpPr/>
                              <wps:spPr>
                                <a:xfrm>
                                  <a:off x="0"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txbxContent>
                              </wps:txbx>
                              <wps:bodyPr vert="horz" wrap="square" lIns="6345" tIns="6345" rIns="6345" bIns="6345" anchor="ctr" anchorCtr="1" compatLnSpc="0"/>
                            </wps:wsp>
                            <wps:wsp>
                              <wps:cNvPr id="10" name="Freeform 10"/>
                              <wps:cNvSpPr/>
                              <wps:spPr>
                                <a:xfrm>
                                  <a:off x="1387007"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s:wsp>
                              <wps:cNvPr id="11" name="Freeform 11"/>
                              <wps:cNvSpPr/>
                              <wps:spPr>
                                <a:xfrm>
                                  <a:off x="2774033"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s:wsp>
                              <wps:cNvPr id="12" name="Freeform 12"/>
                              <wps:cNvSpPr/>
                              <wps:spPr>
                                <a:xfrm>
                                  <a:off x="4161041"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g:wgp>
                        </a:graphicData>
                      </a:graphic>
                    </wp:anchor>
                  </w:drawing>
                </mc:Choice>
                <mc:Fallback>
                  <w:pict>
                    <v:group id="Organization Chart 2" o:spid="_x0000_s1026" style="position:absolute;margin-left:-9.45pt;margin-top:17.25pt;width:417.9pt;height:204pt;z-index:251657728;mso-position-horizontal-relative:char;mso-position-vertical-relative:line" coordsize="5307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">
                      <v:shape id="Freeform 2" o:spid="_x0000_s1027" style="position:absolute;left:26536;top:16327;width:20805;height:2834;visibility:visible;mso-wrap-style:square;v-text-anchor:top" coordsize="2032114,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A&#10;AADaAAAADwAAAGRycy9kb3ducmV2LnhtbESPQWvCQBSE74L/YXlCL2I2CrUhuopKC+mxWkRvj+wz&#10;CWbfptmtif++WxA8DjPzDbNc96YWN2pdZVnBNIpBEOdWV1wo+D58TBIQziNrrC2Tgjs5WK+GgyWm&#10;2nb8Rbe9L0SAsEtRQel9k0rp8pIMusg2xMG72NagD7ItpG6xC3BTy1kcz6XBisNCiQ3tSsqv+1+j&#10;IKddVrwft5fx6ezv9Pl6Td5+YqVeRv1mAcJT75/hRzvTCmbwfy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j8MAAADaAAAADwAAAAAAAAAAAAAAAACYAgAAZHJzL2Rv&#10;d25yZXYueG1sUEsFBgAAAAAEAAQA9QAAAIgDAAAAAA==&#10;" path="m,l,117560r2032114,l2032114,235120e" filled="f" strokecolor="#3d67b1" strokeweight=".35281mm">
                        <v:stroke joinstyle="miter"/>
                        <v:path arrowok="t" o:connecttype="custom" o:connectlocs="1040263,0;2080525,141682;1040263,283363;0,141682" o:connectangles="270,0,90,180" textboxrect="0,0,2032114,235120"/>
                      </v:shape>
                      <v:shape id="Freeform 3" o:spid="_x0000_s1028" style="position:absolute;left:26536;top:16327;width:6935;height:2834;visibility:visible;mso-wrap-style:square;v-text-anchor:top" coordsize="677371,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uXMMA&#10;AADaAAAADwAAAGRycy9kb3ducmV2LnhtbESPzWrDMBCE74G8g9hAb4mcFIrrRg4hkJJDodQx9XWx&#10;1j/UWhlLtd08fVQo9DjMzDfM/jCbTow0uNaygu0mAkFcWt1yrSC/ntcxCOeRNXaWScEPOTiky8Ue&#10;E20n/qAx87UIEHYJKmi87xMpXdmQQbexPXHwKjsY9EEOtdQDTgFuOrmLoidpsOWw0GBPp4bKr+zb&#10;KJiLTL/KuPos3PvzBU+3t9xGsVIPq/n4AsLT7P/Df+2LVvAI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uXMMAAADaAAAADwAAAAAAAAAAAAAAAACYAgAAZHJzL2Rv&#10;d25yZXYueG1sUEsFBgAAAAAEAAQA9QAAAIgDAAAAAA==&#10;" path="m,l,117560r677371,l677371,235120e" filled="f" strokecolor="#3d67b1" strokeweight=".35281mm">
                        <v:stroke joinstyle="miter"/>
                        <v:path arrowok="t" o:connecttype="custom" o:connectlocs="346754,0;693508,141682;346754,283363;0,141682" o:connectangles="270,0,90,180" textboxrect="0,0,677371,235120"/>
                      </v:shape>
                      <v:shape id="Freeform 4" o:spid="_x0000_s1029" style="position:absolute;left:19601;top:16327;width:6935;height:2834;visibility:visible;mso-wrap-style:square;v-text-anchor:top" coordsize="677371,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2KMMA&#10;AADaAAAADwAAAGRycy9kb3ducmV2LnhtbESPzWrDMBCE74G8g9hAb4mcUIrrRg4hkJJDodQx9XWx&#10;1j/UWhlLtd08fVQo9DjMzDfM/jCbTow0uNaygu0mAkFcWt1yrSC/ntcxCOeRNXaWScEPOTiky8Ue&#10;E20n/qAx87UIEHYJKmi87xMpXdmQQbexPXHwKjsY9EEOtdQDTgFuOrmLoidpsOWw0GBPp4bKr+zb&#10;KJiLTL/KuPos3PvzBU+3t9xGsVIPq/n4AsLT7P/Df+2LVvAI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2KMMAAADaAAAADwAAAAAAAAAAAAAAAACYAgAAZHJzL2Rv&#10;d25yZXYueG1sUEsFBgAAAAAEAAQA9QAAAIgDAAAAAA==&#10;" path="m677371,r,117560l,117560,,235120e" filled="f" strokecolor="#3d67b1" strokeweight=".35281mm">
                        <v:stroke joinstyle="miter"/>
                        <v:path arrowok="t" o:connecttype="custom" o:connectlocs="346754,0;693508,141682;346754,283363;0,141682" o:connectangles="270,0,90,180" textboxrect="0,0,677371,235120"/>
                      </v:shape>
                      <v:shape id="Freeform 5" o:spid="_x0000_s1030" style="position:absolute;left:5731;top:16327;width:20805;height:2834;visibility:visible;mso-wrap-style:square;v-text-anchor:top" coordsize="2032114,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7+8IA&#10;AADaAAAADwAAAGRycy9kb3ducmV2LnhtbESPzarCMBSE94LvEI7gRjRV8CrVKCpX0KU/iO4OzbEt&#10;Nie9TdT69ka44HKYmW+Y6bw2hXhQ5XLLCvq9CARxYnXOqYLjYd0dg3AeWWNhmRS8yMF81mxMMdb2&#10;yTt67H0qAoRdjAoy78tYSpdkZND1bEkcvKutDPogq1TqCp8Bbgo5iKIfaTDnsJBhSauMktv+bhQk&#10;tNqkv6fltXO++Bdth7fx6C9Sqt2qFxMQnmr/Df+3N1rBE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nv7wgAAANoAAAAPAAAAAAAAAAAAAAAAAJgCAABkcnMvZG93&#10;bnJldi54bWxQSwUGAAAAAAQABAD1AAAAhwMAAAAA&#10;" path="m2032114,r,117560l,117560,,235120e" filled="f" strokecolor="#3d67b1" strokeweight=".35281mm">
                        <v:stroke joinstyle="miter"/>
                        <v:path arrowok="t" o:connecttype="custom" o:connectlocs="1040263,0;2080525,141682;1040263,283363;0,141682" o:connectangles="270,0,90,180" textboxrect="0,0,2032114,235120"/>
                      </v:shape>
                      <v:shape id="Freeform 6" o:spid="_x0000_s1031" style="position:absolute;left:26068;top:6746;width:936;height:2834;visibility:visible;mso-wrap-style:square;v-text-anchor:top" coordsize="91440,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9ZsUA&#10;AADaAAAADwAAAGRycy9kb3ducmV2LnhtbESPQWvCQBSE7wX/w/KEXkrdtIcg0U0oYkEPLRiL5PjI&#10;vm5Ss29jdtX477sFocdhZr5hlsVoO3GhwbeOFbzMEhDEtdMtGwVf+/fnOQgfkDV2jknBjTwU+eRh&#10;iZl2V97RpQxGRAj7DBU0IfSZlL5uyKKfuZ44et9usBiiHIzUA14j3HbyNUlSabHluNBgT6uG6mN5&#10;tgrWT6u9MYdddd6ezOdPWt2OH2Wr1ON0fFuACDSG//C9vdEKUv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v1mxQAAANoAAAAPAAAAAAAAAAAAAAAAAJgCAABkcnMv&#10;ZG93bnJldi54bWxQSwUGAAAAAAQABAD1AAAAigMAAAAA&#10;" path="m45720,r,235120e" filled="f" strokecolor="#34599c" strokeweight=".35281mm">
                        <v:stroke joinstyle="miter"/>
                        <v:path arrowok="t" o:connecttype="custom" o:connectlocs="46808,0;93616,141682;46808,283363;0,141682" o:connectangles="270,0,90,180" textboxrect="0,0,91440,235120"/>
                      </v:shape>
                      <v:shape id="Freeform 7" o:spid="_x0000_s1032" style="position:absolute;left:20805;width:11463;height:6746;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wm8EA&#10;AADaAAAADwAAAGRycy9kb3ducmV2LnhtbESPQYvCMBSE7wv+h/AEL7Km9rCWalpEEbxa9wc8mrdt&#10;sXmpTdTorzcLC3scZuYbZlMG04s7ja6zrGC5SEAQ11Z33Cj4Ph8+MxDOI2vsLZOCJzkoi8nHBnNt&#10;H3yie+UbESHsclTQej/kUrq6JYNuYQfi6P3Y0aCPcmykHvER4aaXaZJ8SYMdx4UWB9q1VF+qm1Fw&#10;1avlLuznVbrPUjP3r3A99yelZtOwXYPwFPx/+K991ApW8Hsl3gB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MJvBAAAA2gAAAA8AAAAAAAAAAAAAAAAAmAIAAGRycy9kb3du&#10;cmV2LnhtbFBLBQYAAAAABAAEAPUAAACGAw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v:textbox>
                      </v:shape>
                      <v:shape id="Freeform 8" o:spid="_x0000_s1033" style="position:absolute;left:18573;top:9580;width:16098;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k6bsA&#10;AADaAAAADwAAAGRycy9kb3ducmV2LnhtbERPzQ7BQBC+S7zDZiQuwlYPSFkiROKqPMCkO9pGd7a6&#10;i+Xp7UHi+OX7X22CacSTOldbVjCdJCCIC6trLhVczofxAoTzyBoby6TgTQ42635vhZm2Lz7RM/el&#10;iCHsMlRQed9mUrqiIoNuYlviyF1tZ9BH2JVSd/iK4aaRaZLMpMGaY0OFLe0qKm75wyi46/l0F/aj&#10;PN0vUjPyn3A/NyelhoOwXYLwFPxf/HMftYK4NV6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BpOm7AAAA2gAAAA8AAAAAAAAAAAAAAAAAmAIAAGRycy9kb3ducmV2Lnht&#10;bFBLBQYAAAAABAAEAPUAAACAAwAAAAA=&#10;" adj="-11796480,,5400" path="m,l1119622,r,559811l,559811,,xe" fillcolor="#4472c4" strokecolor="white" strokeweight=".35281mm">
                        <v:stroke joinstyle="miter"/>
                        <v:formulas/>
                        <v:path arrowok="t" o:connecttype="custom" o:connectlocs="804864,0;1609728,337345;804864,674690;0,337345;0,0;1609728,0;1609728,674690;0,674690;0,0" o:connectangles="270,0,90,180,0,0,0,0,0" textboxrect="0,0,1119622,559811"/>
                        <v:textbox inset=".17625mm,.17625mm,.17625mm,.17625mm">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Mental Capacity Lead (Community)</w:t>
                              </w:r>
                            </w:p>
                          </w:txbxContent>
                        </v:textbox>
                      </v:shape>
                      <v:shape id="Freeform 9" o:spid="_x0000_s1034" style="position:absolute;top:19161;width:11462;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BcsAA&#10;AADaAAAADwAAAGRycy9kb3ducmV2LnhtbESPwarCMBRE9w/8h3AFN6KpXfi0GkUU4W2tfsClubbF&#10;5qY2UaNf/yIILoeZOcMs18E04k6dqy0rmIwTEMSF1TWXCk7H/WgGwnlkjY1lUvAkB+tV72eJmbYP&#10;PtA996WIEHYZKqi8bzMpXVGRQTe2LXH0zrYz6KPsSqk7fES4aWSaJFNpsOa4UGFL24qKS34zCq76&#10;d7INu2Ge7mapGfpXuB6bg1KDftgsQHgK/hv+tP+0gjm8r8Qb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0BcsAAAADaAAAADwAAAAAAAAAAAAAAAACYAgAAZHJzL2Rvd25y&#10;ZXYueG1sUEsFBgAAAAAEAAQA9QAAAIUDA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txbxContent>
                        </v:textbox>
                      </v:shape>
                      <v:shape id="Freeform 10" o:spid="_x0000_s1035" style="position:absolute;left:13870;top:19161;width:11462;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3asIA&#10;AADbAAAADwAAAGRycy9kb3ducmV2LnhtbESPwY7CMAxE7yvxD5GRuKAlpYddVAgIgVbiStkPsBpv&#10;W9E4pQmQ5evxAYmbrRnPPK82yXXqRkNoPRuYzzJQxJW3LdcGfk8/nwtQISJb7DyTgX8KsFmPPlZY&#10;WH/nI93KWCsJ4VCggSbGvtA6VA05DDPfE4v25weHUdah1nbAu4S7TudZ9qUdtiwNDfa0a6g6l1dn&#10;4GK/57u0n5b5fpG7aXyky6k7GjMZp+0SVKQU3+bX9cEK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fdqwgAAANsAAAAPAAAAAAAAAAAAAAAAAJgCAABkcnMvZG93&#10;bnJldi54bWxQSwUGAAAAAAQABAD1AAAAhwM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v:shape id="Freeform 11" o:spid="_x0000_s1036" style="position:absolute;left:27740;top:19161;width:11463;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S8cEA&#10;AADbAAAADwAAAGRycy9kb3ducmV2LnhtbERPS2rDMBDdF3IHMYFuQizbi9a4lkNIKHQbpwcYrKll&#10;Yo0cS03Unr4qFLqbx/tOs4t2Ejda/OhYQZHlIIh7p0ceFLyfX7cVCB+QNU6OScEXedi1q4cGa+3u&#10;fKJbFwaRQtjXqMCEMNdS+t6QRZ+5mThxH26xGBJcBqkXvKdwO8kyz5+kxZFTg8GZDob6S/dpFVz1&#10;c3GIx01XHqvSbsJ3vJ6nk1KP67h/AREohn/xn/tNp/kF/P6SDp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UvHBAAAA2wAAAA8AAAAAAAAAAAAAAAAAmAIAAGRycy9kb3du&#10;cmV2LnhtbFBLBQYAAAAABAAEAPUAAACGAw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v:shape id="Freeform 12" o:spid="_x0000_s1037" style="position:absolute;left:41610;top:19161;width:11463;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hsAA&#10;AADbAAAADwAAAGRycy9kb3ducmV2LnhtbERPzYrCMBC+L/gOYQQvYlN72JXaKFIRvFr3AYZmbIvN&#10;pG2iZvfpNwsLe5uP73eKfTC9eNLkOssK1kkKgri2uuNGwef1tNqAcB5ZY2+ZFHyRg/1u9lZgru2L&#10;L/SsfCNiCLscFbTeD7mUrm7JoEvsQBy5m50M+ginRuoJXzHc9DJL03dpsOPY0OJAZUv1vXoYBaP+&#10;WJfhuKyy4yYzS/8dxmt/UWoxD4ctCE/B/4v/3Gcd52f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hsAAAADbAAAADwAAAAAAAAAAAAAAAACYAgAAZHJzL2Rvd25y&#10;ZXYueG1sUEsFBgAAAAAEAAQA9QAAAIUDA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w10:wrap anchory="line"/>
                    </v:group>
                  </w:pict>
                </mc:Fallback>
              </mc:AlternateContent>
            </w:r>
            <w:r>
              <w:rPr>
                <w:noProof/>
              </w:rPr>
              <mc:AlternateContent>
                <mc:Choice Requires="wps">
                  <w:drawing>
                    <wp:inline distT="0" distB="0" distL="0" distR="0">
                      <wp:extent cx="5190491" cy="2590166"/>
                      <wp:effectExtent l="0" t="0" r="10159" b="634"/>
                      <wp:docPr id="13" name="AutoShape 1"/>
                      <wp:cNvGraphicFramePr/>
                      <a:graphic xmlns:a="http://schemas.openxmlformats.org/drawingml/2006/main">
                        <a:graphicData uri="http://schemas.microsoft.com/office/word/2010/wordprocessingShape">
                          <wps:wsp>
                            <wps:cNvSpPr/>
                            <wps:spPr>
                              <a:xfrm>
                                <a:off x="0" y="0"/>
                                <a:ext cx="5190491" cy="2590166"/>
                              </a:xfrm>
                              <a:prstGeom prst="rect">
                                <a:avLst/>
                              </a:prstGeom>
                              <a:noFill/>
                              <a:ln>
                                <a:noFill/>
                                <a:prstDash val="solid"/>
                              </a:ln>
                            </wps:spPr>
                            <wps:bodyPr lIns="0" tIns="0" rIns="0" bIns="0"/>
                          </wps:wsp>
                        </a:graphicData>
                      </a:graphic>
                    </wp:inline>
                  </w:drawing>
                </mc:Choice>
                <mc:Fallback>
                  <w:pict>
                    <v:rect id="AutoShape 1" o:spid="_x0000_s1026" style="width:408.7pt;height:2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" filled="f" stroked="f">
                      <v:textbox inset="0,0,0,0"/>
                      <w10:anchorlock/>
                    </v:rect>
                  </w:pict>
                </mc:Fallback>
              </mc:AlternateContent>
            </w:r>
          </w:p>
          <w:p w:rsidR="006B46A0" w:rsidRDefault="006B46A0">
            <w:pPr>
              <w:ind w:right="-108"/>
              <w:rPr>
                <w:b/>
              </w:rPr>
            </w:pPr>
          </w:p>
          <w:p w:rsidR="006B46A0" w:rsidRDefault="006B46A0">
            <w:pPr>
              <w:ind w:right="-108"/>
              <w:rPr>
                <w:b/>
              </w:rPr>
            </w:pPr>
          </w:p>
          <w:p w:rsidR="006B46A0" w:rsidRDefault="006B46A0">
            <w:pPr>
              <w:ind w:right="-108"/>
              <w:rPr>
                <w:b/>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b/>
              </w:rPr>
              <w:t>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Bold" w:hAnsi="Arial Bold" w:cs="Arial"/>
                <w:b/>
                <w:i/>
                <w:color w:val="000000"/>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Essential</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Demonstrate the ability to safeguard human rights and promote the well being of Adults i.e. understanding Article 5 and Article 8 ECHR rights, recognising and responding within the legal framework of the Human Rights Act to enable risks and emotional resilience, reflecting and making informed judgments and acting within local procedures, arrangements and others roles.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w:t>
            </w:r>
            <w:r>
              <w:rPr>
                <w:rFonts w:ascii="Arial" w:hAnsi="Arial" w:cs="Arial"/>
              </w:rPr>
              <w:lastRenderedPageBreak/>
              <w:t>cultural, religious, language and health needs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lastRenderedPageBreak/>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lastRenderedPageBreak/>
              <w:t>Uphold the 5 statutory principles of the Mental Capacity Act 2005 taking all practicable steps to ensure peoples wishes feelings and beliefs are upheld in support planning and decision making.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 xml:space="preserve">Able to carry out effective partnership working </w:t>
            </w:r>
            <w:proofErr w:type="spellStart"/>
            <w:r>
              <w:rPr>
                <w:rFonts w:ascii="Arial" w:hAnsi="Arial" w:cs="Arial"/>
              </w:rPr>
              <w:t>ie</w:t>
            </w:r>
            <w:proofErr w:type="spellEnd"/>
            <w:r>
              <w:rPr>
                <w:rFonts w:ascii="Arial" w:hAnsi="Arial" w:cs="Arial"/>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pPr>
            <w:r>
              <w:rPr>
                <w:rFonts w:ascii="Arial" w:hAnsi="Arial" w:cs="Arial"/>
              </w:rPr>
              <w:t>Be able to manage risk and undertake risk assessments to support service user safety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Demonstrate an understanding of the duties and responsibilities that underpins the work of Adult Services in particular the Mental Capacity Act and the European Convention on Human Rights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Able to gather and share information appropriately to ensure that people’s rights are upheld including the Data Protection Act, 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pPr>
            <w:r>
              <w:rPr>
                <w:rFonts w:ascii="Arial" w:hAnsi="Arial" w:cs="Arial"/>
              </w:rPr>
              <w:t>Able to work with service information systems e.g. EMS, AIS, ESS, demonstrating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bl>
    <w:p w:rsidR="006B46A0" w:rsidRDefault="006B46A0"/>
    <w:tbl>
      <w:tblPr>
        <w:tblW w:w="9588" w:type="dxa"/>
        <w:tblLayout w:type="fixed"/>
        <w:tblCellMar>
          <w:left w:w="10" w:type="dxa"/>
          <w:right w:w="10" w:type="dxa"/>
        </w:tblCellMar>
        <w:tblLook w:val="0000" w:firstRow="0" w:lastRow="0" w:firstColumn="0" w:lastColumn="0" w:noHBand="0" w:noVBand="0"/>
      </w:tblPr>
      <w:tblGrid>
        <w:gridCol w:w="9588"/>
      </w:tblGrid>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experience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A minimum of 2 ½ years experience working as a Social Worker</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Best Interest Assessment (BIA)</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Technical knowledge about the Deprivation of Liberty Safeguards</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professional qualifications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rPr>
                <w:rFonts w:ascii="Arial" w:hAnsi="Arial" w:cs="Arial"/>
              </w:rPr>
            </w:pPr>
            <w:r>
              <w:rPr>
                <w:rFonts w:ascii="Arial" w:hAnsi="Arial" w:cs="Arial"/>
              </w:rPr>
              <w:t>CQSW/CSS/DIPSW B/MA in Social Work</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Best Interest Assessor</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Registered with the Health and Care Professions Council.</w:t>
            </w:r>
          </w:p>
          <w:p w:rsidR="006B46A0" w:rsidRDefault="006B46A0">
            <w:pPr>
              <w:ind w:right="-6"/>
              <w:rPr>
                <w:rFonts w:ascii="Arial Bold" w:hAnsi="Arial Bold" w:cs="Arial"/>
                <w:b/>
                <w:sz w:val="28"/>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Core Employee competencies at manager level to be used at the interview stage. </w:t>
            </w:r>
          </w:p>
          <w:p w:rsidR="006B46A0" w:rsidRDefault="006B46A0">
            <w:pPr>
              <w:ind w:right="-874"/>
              <w:rPr>
                <w:rFonts w:ascii="Arial Bold" w:hAnsi="Arial Bold" w:cs="Arial"/>
                <w:b/>
                <w:sz w:val="28"/>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874"/>
            </w:pPr>
            <w:r>
              <w:rPr>
                <w:rFonts w:ascii="Arial" w:hAnsi="Arial" w:cs="Arial"/>
                <w:b/>
              </w:rPr>
              <w:t xml:space="preserve">Carries Out Performance Management – </w:t>
            </w:r>
            <w:r>
              <w:rPr>
                <w:rFonts w:ascii="Arial" w:hAnsi="Arial" w:cs="Arial"/>
              </w:rPr>
              <w:t xml:space="preserve">covers the employees capacity to manage </w:t>
            </w:r>
          </w:p>
          <w:p w:rsidR="006B46A0" w:rsidRDefault="00002FF8">
            <w:pPr>
              <w:ind w:right="-874"/>
              <w:rPr>
                <w:rFonts w:ascii="Arial" w:hAnsi="Arial" w:cs="Arial"/>
              </w:rPr>
            </w:pPr>
            <w:r>
              <w:rPr>
                <w:rFonts w:ascii="Arial" w:hAnsi="Arial" w:cs="Arial"/>
              </w:rPr>
              <w:t xml:space="preserve">their workload and carry out a number of specific tasks accurately and at a high standard.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Bold" w:hAnsi="Arial Bold" w:cs="Arial"/>
                <w:b/>
              </w:rPr>
              <w:t xml:space="preserve">Communicates Effectively </w:t>
            </w:r>
            <w:r>
              <w:rPr>
                <w:rFonts w:ascii="Arial" w:hAnsi="Arial" w:cs="Arial"/>
              </w:rPr>
              <w:t xml:space="preserve">- covers a range of spoken and written communication skills required as a regular feature of the job. It includes exchanging information/building </w:t>
            </w:r>
            <w:r>
              <w:rPr>
                <w:rFonts w:ascii="Arial" w:hAnsi="Arial" w:cs="Arial"/>
              </w:rPr>
              <w:lastRenderedPageBreak/>
              <w:t>relationships, giving advice and guidance, counselling, negotiating and persuading and handling private, confidential and sensitive information.</w:t>
            </w:r>
            <w:r>
              <w:rPr>
                <w:rFonts w:ascii="Arial Bold" w:hAnsi="Arial Bold" w:cs="Arial"/>
                <w:b/>
              </w:rPr>
              <w:t xml:space="preserve">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lastRenderedPageBreak/>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bl>
    <w:p w:rsidR="006B46A0" w:rsidRDefault="006B46A0"/>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Working Conditions: </w:t>
            </w:r>
          </w:p>
          <w:p w:rsidR="006B46A0" w:rsidRDefault="00002FF8">
            <w:pPr>
              <w:ind w:right="-154"/>
            </w:pP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154"/>
              <w:rPr>
                <w:rFonts w:ascii="Arial" w:hAnsi="Arial" w:cs="Arial"/>
              </w:rPr>
            </w:pPr>
          </w:p>
          <w:p w:rsidR="006B46A0" w:rsidRDefault="00002FF8">
            <w:pPr>
              <w:ind w:right="-154"/>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work in line with the CBMDC New Ways of Working policy.</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Must be able to work evenings, weekends and bank holidays as required by the needs of the service.</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The normal pattern of working would be five days over a seven day period.</w:t>
            </w:r>
          </w:p>
          <w:p w:rsidR="006B46A0" w:rsidRDefault="00002FF8">
            <w:pPr>
              <w:ind w:right="-154"/>
              <w:rPr>
                <w:rFonts w:ascii="Arial" w:hAnsi="Arial" w:cs="Arial"/>
              </w:rPr>
            </w:pPr>
            <w:r>
              <w:rPr>
                <w:rFonts w:ascii="Arial" w:hAnsi="Arial" w:cs="Arial"/>
              </w:rPr>
              <w:t>This does not apply to those staff employed prior to 1 April 2014.</w:t>
            </w:r>
          </w:p>
          <w:p w:rsidR="006B46A0" w:rsidRDefault="006B46A0">
            <w:pPr>
              <w:ind w:right="-154"/>
              <w:rPr>
                <w:rFonts w:ascii="Arial" w:hAnsi="Arial" w:cs="Arial"/>
              </w:rPr>
            </w:pPr>
          </w:p>
          <w:p w:rsidR="006B46A0" w:rsidRDefault="00002FF8">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b/>
              </w:rPr>
            </w:pP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pPr>
            <w:r>
              <w:rPr>
                <w:rFonts w:ascii="Arial" w:hAnsi="Arial" w:cs="Arial"/>
                <w:b/>
              </w:rPr>
              <w:t xml:space="preserve">Special Conditions: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rPr>
            </w:pPr>
          </w:p>
          <w:p w:rsidR="006B46A0" w:rsidRDefault="00002FF8">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6B46A0" w:rsidRDefault="006B46A0">
            <w:pPr>
              <w:ind w:right="-6"/>
              <w:rPr>
                <w:rFonts w:ascii="Arial" w:hAnsi="Arial" w:cs="Arial"/>
              </w:rPr>
            </w:pPr>
          </w:p>
          <w:p w:rsidR="006B46A0" w:rsidRDefault="00002FF8">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Maintain professional registration and meet the HCPC duties of standards of conduct, performance and ethics.</w:t>
            </w:r>
          </w:p>
          <w:p w:rsidR="006B46A0" w:rsidRDefault="006B46A0">
            <w:pPr>
              <w:ind w:right="-6"/>
              <w:rPr>
                <w:rFonts w:ascii="Arial Bold" w:hAnsi="Arial Bold" w:cs="Arial"/>
                <w:b/>
              </w:rPr>
            </w:pPr>
          </w:p>
          <w:p w:rsidR="006B46A0" w:rsidRDefault="00002FF8">
            <w:pPr>
              <w:tabs>
                <w:tab w:val="left" w:pos="-720"/>
              </w:tabs>
              <w:rPr>
                <w:rFonts w:ascii="Arial" w:hAnsi="Arial" w:cs="Arial"/>
              </w:rPr>
            </w:pPr>
            <w:r>
              <w:rPr>
                <w:rFonts w:ascii="Arial" w:hAnsi="Arial" w:cs="Arial"/>
              </w:rPr>
              <w:t xml:space="preserve">No contra-indications in personal background or criminal record indicating unsuitability to work with vulnerable adults/young people/ /finance. Due to the nature of the post a DBS check will be required. </w:t>
            </w:r>
          </w:p>
          <w:p w:rsidR="006B46A0" w:rsidRDefault="006B46A0">
            <w:pPr>
              <w:ind w:right="-874"/>
              <w:rPr>
                <w:rFonts w:ascii="Arial" w:hAnsi="Arial" w:cs="Arial"/>
              </w:rPr>
            </w:pPr>
          </w:p>
        </w:tc>
      </w:tr>
      <w:tr w:rsidR="006B46A0">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Compiled by:</w:t>
            </w:r>
          </w:p>
          <w:p w:rsidR="006B46A0" w:rsidRDefault="006B46A0">
            <w:pPr>
              <w:rPr>
                <w:rFonts w:ascii="Arial" w:hAnsi="Arial" w:cs="Arial"/>
                <w:b/>
              </w:rPr>
            </w:pPr>
          </w:p>
          <w:p w:rsidR="006B46A0" w:rsidRDefault="00002FF8">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Grade Assessment Date:</w:t>
            </w:r>
          </w:p>
          <w:p w:rsidR="006B46A0" w:rsidRDefault="006B46A0">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Post Grade:</w:t>
            </w:r>
            <w:r w:rsidR="00FE6F2B">
              <w:rPr>
                <w:rFonts w:ascii="Arial" w:hAnsi="Arial" w:cs="Arial"/>
                <w:b/>
              </w:rPr>
              <w:t xml:space="preserve"> Advanced Practitioner</w:t>
            </w:r>
            <w:bookmarkStart w:id="0" w:name="_GoBack"/>
            <w:bookmarkEnd w:id="0"/>
          </w:p>
        </w:tc>
      </w:tr>
    </w:tbl>
    <w:p w:rsidR="006B46A0" w:rsidRDefault="006B46A0">
      <w:pPr>
        <w:rPr>
          <w:b/>
        </w:rPr>
      </w:pPr>
    </w:p>
    <w:sectPr w:rsidR="006B46A0">
      <w:headerReference w:type="default" r:id="rId8"/>
      <w:footerReference w:type="default" r:id="rId9"/>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BC" w:rsidRDefault="00A256BC">
      <w:r>
        <w:separator/>
      </w:r>
    </w:p>
  </w:endnote>
  <w:endnote w:type="continuationSeparator" w:id="0">
    <w:p w:rsidR="00A256BC" w:rsidRDefault="00A2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7E" w:rsidRDefault="00002FF8">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BC" w:rsidRDefault="00A256BC">
      <w:r>
        <w:rPr>
          <w:color w:val="000000"/>
        </w:rPr>
        <w:separator/>
      </w:r>
    </w:p>
  </w:footnote>
  <w:footnote w:type="continuationSeparator" w:id="0">
    <w:p w:rsidR="00A256BC" w:rsidRDefault="00A2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297B7E">
      <w:trPr>
        <w:trHeight w:val="237"/>
      </w:trPr>
      <w:tc>
        <w:tcPr>
          <w:tcW w:w="9499" w:type="dxa"/>
          <w:tcBorders>
            <w:bottom w:val="double" w:sz="18" w:space="0" w:color="FF0000"/>
          </w:tcBorders>
          <w:shd w:val="clear" w:color="auto" w:fill="auto"/>
          <w:tcMar>
            <w:top w:w="0" w:type="dxa"/>
            <w:left w:w="108" w:type="dxa"/>
            <w:bottom w:w="0" w:type="dxa"/>
            <w:right w:w="108" w:type="dxa"/>
          </w:tcMar>
        </w:tcPr>
        <w:p w:rsidR="00297B7E" w:rsidRDefault="00002FF8">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297B7E" w:rsidRDefault="00FE6F2B"/>
  <w:p w:rsidR="00297B7E" w:rsidRDefault="00FE6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1E"/>
    <w:multiLevelType w:val="multilevel"/>
    <w:tmpl w:val="C4102134"/>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
    <w:nsid w:val="125F023B"/>
    <w:multiLevelType w:val="multilevel"/>
    <w:tmpl w:val="5F4C40E4"/>
    <w:styleLink w:val="WWOutlineListStyle2"/>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F86269"/>
    <w:multiLevelType w:val="multilevel"/>
    <w:tmpl w:val="3EBC47B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3">
    <w:nsid w:val="59EE389E"/>
    <w:multiLevelType w:val="multilevel"/>
    <w:tmpl w:val="6F768A02"/>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4B4FEC"/>
    <w:multiLevelType w:val="multilevel"/>
    <w:tmpl w:val="A55E938E"/>
    <w:styleLink w:val="WWOutlineListStyle3"/>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1BF7C06"/>
    <w:multiLevelType w:val="multilevel"/>
    <w:tmpl w:val="7BA4D4FE"/>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B46A0"/>
    <w:rsid w:val="00002FF8"/>
    <w:rsid w:val="00107FB0"/>
    <w:rsid w:val="00323DE2"/>
    <w:rsid w:val="00560E52"/>
    <w:rsid w:val="006876B0"/>
    <w:rsid w:val="006B46A0"/>
    <w:rsid w:val="00A256BC"/>
    <w:rsid w:val="00CA61AD"/>
    <w:rsid w:val="00F51CF1"/>
    <w:rsid w:val="00FE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2015-01-22T17:01:00Z</cp:lastPrinted>
  <dcterms:created xsi:type="dcterms:W3CDTF">2018-05-15T10:43:00Z</dcterms:created>
  <dcterms:modified xsi:type="dcterms:W3CDTF">2018-05-15T10:52:00Z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